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E69E28" w14:textId="6D0E91A4" w:rsidR="00992C74" w:rsidRPr="00992C74" w:rsidRDefault="00992C74" w:rsidP="00992C74">
      <w:pPr>
        <w:shd w:val="clear" w:color="auto" w:fill="FFFFFF"/>
        <w:rPr>
          <w:rFonts w:ascii="Open Sans" w:hAnsi="Open Sans"/>
          <w:color w:val="000000"/>
        </w:rPr>
      </w:pPr>
      <w:r w:rsidRPr="00992C74">
        <w:rPr>
          <w:color w:val="000000"/>
          <w:bdr w:val="none" w:sz="0" w:space="0" w:color="auto" w:frame="1"/>
          <w:shd w:val="clear" w:color="auto" w:fill="FFFFFF"/>
        </w:rPr>
        <w:t xml:space="preserve">Hi Class </w:t>
      </w:r>
      <w:r w:rsidR="00794A7E">
        <w:rPr>
          <w:color w:val="000000"/>
          <w:bdr w:val="none" w:sz="0" w:space="0" w:color="auto" w:frame="1"/>
          <w:shd w:val="clear" w:color="auto" w:fill="FFFFFF"/>
        </w:rPr>
        <w:t>,</w:t>
      </w:r>
      <w:bookmarkStart w:id="0" w:name="_GoBack"/>
      <w:bookmarkEnd w:id="0"/>
    </w:p>
    <w:p w14:paraId="1C4E1769" w14:textId="77777777" w:rsidR="00992C74" w:rsidRPr="00992C74" w:rsidRDefault="00992C74" w:rsidP="00992C74">
      <w:pPr>
        <w:shd w:val="clear" w:color="auto" w:fill="FFFFFF"/>
        <w:spacing w:line="390" w:lineRule="atLeast"/>
        <w:rPr>
          <w:rFonts w:ascii="Open Sans" w:hAnsi="Open Sans"/>
          <w:color w:val="000000"/>
        </w:rPr>
      </w:pPr>
      <w:r w:rsidRPr="00992C74">
        <w:rPr>
          <w:rFonts w:ascii="inherit" w:hAnsi="inherit"/>
          <w:b/>
          <w:bCs/>
          <w:color w:val="000000"/>
          <w:sz w:val="20"/>
          <w:szCs w:val="20"/>
          <w:bdr w:val="none" w:sz="0" w:space="0" w:color="auto" w:frame="1"/>
          <w:shd w:val="clear" w:color="auto" w:fill="FFFFFF"/>
        </w:rPr>
        <w:t>Medicare is a federally funded medical program for senior citizens or the disabled. Medicare components (Mason, Gardner, Outlaw &amp; O’Grady, 2015)</w:t>
      </w:r>
    </w:p>
    <w:p w14:paraId="7AE4D76E" w14:textId="77777777" w:rsidR="00992C74" w:rsidRPr="00992C74" w:rsidRDefault="00992C74" w:rsidP="00992C74">
      <w:pPr>
        <w:shd w:val="clear" w:color="auto" w:fill="FFFFFF"/>
        <w:spacing w:line="390" w:lineRule="atLeast"/>
        <w:rPr>
          <w:rFonts w:ascii="Open Sans" w:hAnsi="Open Sans"/>
          <w:color w:val="000000"/>
        </w:rPr>
      </w:pPr>
      <w:r w:rsidRPr="00992C74">
        <w:rPr>
          <w:rFonts w:ascii="inherit" w:hAnsi="inherit"/>
          <w:b/>
          <w:bCs/>
          <w:color w:val="000000"/>
          <w:sz w:val="20"/>
          <w:szCs w:val="20"/>
          <w:bdr w:val="none" w:sz="0" w:space="0" w:color="auto" w:frame="1"/>
          <w:shd w:val="clear" w:color="auto" w:fill="FFFFFF"/>
        </w:rPr>
        <w:t>Medicare part A</w:t>
      </w:r>
      <w:r w:rsidRPr="00992C74">
        <w:rPr>
          <w:rFonts w:ascii="inherit" w:hAnsi="inherit"/>
          <w:color w:val="000000"/>
          <w:sz w:val="20"/>
          <w:szCs w:val="20"/>
          <w:bdr w:val="none" w:sz="0" w:space="0" w:color="auto" w:frame="1"/>
          <w:shd w:val="clear" w:color="auto" w:fill="FFFFFF"/>
        </w:rPr>
        <w:t> – Covers Americans age 65 years, or sooner if disability is determined. Part A covers hospital and related costs and is funded through payroll deductions.</w:t>
      </w:r>
    </w:p>
    <w:p w14:paraId="38299152" w14:textId="77777777" w:rsidR="00992C74" w:rsidRPr="00992C74" w:rsidRDefault="00992C74" w:rsidP="00992C74">
      <w:pPr>
        <w:shd w:val="clear" w:color="auto" w:fill="FFFFFF"/>
        <w:spacing w:line="390" w:lineRule="atLeast"/>
        <w:rPr>
          <w:rFonts w:ascii="Open Sans" w:hAnsi="Open Sans"/>
          <w:color w:val="000000"/>
        </w:rPr>
      </w:pPr>
      <w:r w:rsidRPr="00992C74">
        <w:rPr>
          <w:rFonts w:ascii="inherit" w:hAnsi="inherit"/>
          <w:b/>
          <w:bCs/>
          <w:color w:val="000000"/>
          <w:sz w:val="20"/>
          <w:szCs w:val="20"/>
          <w:bdr w:val="none" w:sz="0" w:space="0" w:color="auto" w:frame="1"/>
          <w:shd w:val="clear" w:color="auto" w:fill="FFFFFF"/>
        </w:rPr>
        <w:t>Medicare part B</w:t>
      </w:r>
      <w:r w:rsidRPr="00992C74">
        <w:rPr>
          <w:rFonts w:ascii="inherit" w:hAnsi="inherit"/>
          <w:color w:val="000000"/>
          <w:sz w:val="20"/>
          <w:szCs w:val="20"/>
          <w:bdr w:val="none" w:sz="0" w:space="0" w:color="auto" w:frame="1"/>
          <w:shd w:val="clear" w:color="auto" w:fill="FFFFFF"/>
        </w:rPr>
        <w:t> – Covers costs related to outpatient and physician services, home health, medical equipment, lab services, physical and outpatient therapy, and outpatient mental health services. This program is finances through premiums, revenue funding and cost-sharing with beneficiaries.</w:t>
      </w:r>
    </w:p>
    <w:p w14:paraId="2DB8C218" w14:textId="77777777" w:rsidR="00992C74" w:rsidRPr="00992C74" w:rsidRDefault="00992C74" w:rsidP="00992C74">
      <w:pPr>
        <w:shd w:val="clear" w:color="auto" w:fill="FFFFFF"/>
        <w:spacing w:line="390" w:lineRule="atLeast"/>
        <w:rPr>
          <w:rFonts w:ascii="Open Sans" w:hAnsi="Open Sans"/>
          <w:color w:val="000000"/>
        </w:rPr>
      </w:pPr>
      <w:r w:rsidRPr="00992C74">
        <w:rPr>
          <w:rFonts w:ascii="inherit" w:hAnsi="inherit"/>
          <w:b/>
          <w:bCs/>
          <w:color w:val="000000"/>
          <w:sz w:val="20"/>
          <w:szCs w:val="20"/>
          <w:bdr w:val="none" w:sz="0" w:space="0" w:color="auto" w:frame="1"/>
          <w:shd w:val="clear" w:color="auto" w:fill="FFFFFF"/>
        </w:rPr>
        <w:t>Medicare part C</w:t>
      </w:r>
      <w:r w:rsidRPr="00992C74">
        <w:rPr>
          <w:rFonts w:ascii="inherit" w:hAnsi="inherit"/>
          <w:color w:val="000000"/>
          <w:sz w:val="20"/>
          <w:szCs w:val="20"/>
          <w:bdr w:val="none" w:sz="0" w:space="0" w:color="auto" w:frame="1"/>
          <w:shd w:val="clear" w:color="auto" w:fill="FFFFFF"/>
        </w:rPr>
        <w:t> – The Advantage Program, allows beneficiaries enrolled in a private health plan to receive additional benefits such as vision and hearing.</w:t>
      </w:r>
    </w:p>
    <w:p w14:paraId="23FADB40" w14:textId="77777777" w:rsidR="00992C74" w:rsidRPr="00992C74" w:rsidRDefault="00992C74" w:rsidP="00992C74">
      <w:pPr>
        <w:shd w:val="clear" w:color="auto" w:fill="FFFFFF"/>
        <w:spacing w:line="390" w:lineRule="atLeast"/>
        <w:rPr>
          <w:rFonts w:ascii="Open Sans" w:hAnsi="Open Sans"/>
          <w:color w:val="000000"/>
        </w:rPr>
      </w:pPr>
      <w:r w:rsidRPr="00992C74">
        <w:rPr>
          <w:rFonts w:ascii="inherit" w:hAnsi="inherit"/>
          <w:b/>
          <w:bCs/>
          <w:color w:val="000000"/>
          <w:sz w:val="20"/>
          <w:szCs w:val="20"/>
          <w:bdr w:val="none" w:sz="0" w:space="0" w:color="auto" w:frame="1"/>
          <w:shd w:val="clear" w:color="auto" w:fill="FFFFFF"/>
        </w:rPr>
        <w:t>Medicare part D </w:t>
      </w:r>
      <w:r w:rsidRPr="00992C74">
        <w:rPr>
          <w:rFonts w:ascii="inherit" w:hAnsi="inherit"/>
          <w:color w:val="000000"/>
          <w:sz w:val="20"/>
          <w:szCs w:val="20"/>
          <w:bdr w:val="none" w:sz="0" w:space="0" w:color="auto" w:frame="1"/>
        </w:rPr>
        <w:t>– A voluntary prescription drug program, which subsidizes the costs of prescriptions for low to modest income households.  This part of the program is funded by premiums, revenues, and the state.</w:t>
      </w:r>
    </w:p>
    <w:p w14:paraId="69B9F97E" w14:textId="77777777" w:rsidR="00992C74" w:rsidRPr="00992C74" w:rsidRDefault="00992C74" w:rsidP="00992C74">
      <w:pPr>
        <w:shd w:val="clear" w:color="auto" w:fill="FFFFFF"/>
        <w:spacing w:line="390" w:lineRule="atLeast"/>
        <w:rPr>
          <w:rFonts w:ascii="Open Sans" w:hAnsi="Open Sans"/>
          <w:color w:val="000000"/>
        </w:rPr>
      </w:pPr>
      <w:r w:rsidRPr="00992C74">
        <w:rPr>
          <w:rFonts w:ascii="inherit" w:hAnsi="inherit"/>
          <w:b/>
          <w:bCs/>
          <w:color w:val="000000"/>
          <w:sz w:val="20"/>
          <w:szCs w:val="20"/>
          <w:bdr w:val="none" w:sz="0" w:space="0" w:color="auto" w:frame="1"/>
          <w:shd w:val="clear" w:color="auto" w:fill="FFFFFF"/>
        </w:rPr>
        <w:t>Patient coverage gaps in Medicare (Medicare.gov, n.d.):</w:t>
      </w:r>
    </w:p>
    <w:p w14:paraId="1EA54F69" w14:textId="77777777" w:rsidR="00992C74" w:rsidRPr="00992C74" w:rsidRDefault="00992C74" w:rsidP="00992C74">
      <w:pPr>
        <w:shd w:val="clear" w:color="auto" w:fill="FFFFFF"/>
        <w:spacing w:line="390" w:lineRule="atLeast"/>
        <w:rPr>
          <w:rFonts w:ascii="Open Sans" w:hAnsi="Open Sans"/>
          <w:color w:val="000000"/>
        </w:rPr>
      </w:pPr>
      <w:r w:rsidRPr="00992C74">
        <w:rPr>
          <w:rFonts w:ascii="inherit" w:hAnsi="inherit"/>
          <w:b/>
          <w:bCs/>
          <w:color w:val="000000"/>
          <w:sz w:val="20"/>
          <w:szCs w:val="20"/>
          <w:bdr w:val="none" w:sz="0" w:space="0" w:color="auto" w:frame="1"/>
        </w:rPr>
        <w:t>Medicare Part D gap</w:t>
      </w:r>
      <w:r w:rsidRPr="00992C74">
        <w:rPr>
          <w:rFonts w:ascii="inherit" w:hAnsi="inherit"/>
          <w:color w:val="000000"/>
          <w:sz w:val="20"/>
          <w:szCs w:val="20"/>
          <w:bdr w:val="none" w:sz="0" w:space="0" w:color="auto" w:frame="1"/>
        </w:rPr>
        <w:t>– Medicare part D has a prescription drug coverage gap (AKA Donut hole).  This gap is a temporary limit on covered drugs.  This coverage gap is reached once $3820.00 is spent on Rx drugs for the year.  Starting in 2019, once entered into the coverage gap, 75% of brand names and dispensing fees are covered and 63% of generics are covered.  These fees may be adjusted annually through 2020.</w:t>
      </w:r>
    </w:p>
    <w:p w14:paraId="46E4338E" w14:textId="77777777" w:rsidR="00992C74" w:rsidRPr="00992C74" w:rsidRDefault="00992C74" w:rsidP="00992C74">
      <w:pPr>
        <w:shd w:val="clear" w:color="auto" w:fill="FFFFFF"/>
        <w:spacing w:line="390" w:lineRule="atLeast"/>
        <w:rPr>
          <w:rFonts w:ascii="Open Sans" w:hAnsi="Open Sans"/>
          <w:color w:val="000000"/>
        </w:rPr>
      </w:pPr>
      <w:r w:rsidRPr="00992C74">
        <w:rPr>
          <w:rFonts w:ascii="inherit" w:hAnsi="inherit"/>
          <w:b/>
          <w:bCs/>
          <w:color w:val="000000"/>
          <w:sz w:val="20"/>
          <w:szCs w:val="20"/>
          <w:bdr w:val="none" w:sz="0" w:space="0" w:color="auto" w:frame="1"/>
        </w:rPr>
        <w:t>Medicare service gaps </w:t>
      </w:r>
      <w:r w:rsidRPr="00992C74">
        <w:rPr>
          <w:rFonts w:ascii="inherit" w:hAnsi="inherit"/>
          <w:color w:val="000000"/>
          <w:sz w:val="20"/>
          <w:szCs w:val="20"/>
          <w:bdr w:val="none" w:sz="0" w:space="0" w:color="auto" w:frame="1"/>
        </w:rPr>
        <w:t xml:space="preserve">– There are many services Medicare does not cover, falling on the responsibility of the patient, unless covered by an addition insurance or </w:t>
      </w:r>
      <w:proofErr w:type="spellStart"/>
      <w:r w:rsidRPr="00992C74">
        <w:rPr>
          <w:rFonts w:ascii="inherit" w:hAnsi="inherit"/>
          <w:color w:val="000000"/>
          <w:sz w:val="20"/>
          <w:szCs w:val="20"/>
          <w:bdr w:val="none" w:sz="0" w:space="0" w:color="auto" w:frame="1"/>
        </w:rPr>
        <w:t>Medigap</w:t>
      </w:r>
      <w:proofErr w:type="spellEnd"/>
      <w:r w:rsidRPr="00992C74">
        <w:rPr>
          <w:rFonts w:ascii="inherit" w:hAnsi="inherit"/>
          <w:color w:val="000000"/>
          <w:sz w:val="20"/>
          <w:szCs w:val="20"/>
          <w:bdr w:val="none" w:sz="0" w:space="0" w:color="auto" w:frame="1"/>
        </w:rPr>
        <w:t xml:space="preserve"> policy.  The services not covered include custodial care, dental care, eye exams, foot care, acupuncture, hearing aids and cosmetic surgeries.</w:t>
      </w:r>
    </w:p>
    <w:p w14:paraId="3B9AA235" w14:textId="77777777" w:rsidR="00992C74" w:rsidRPr="00992C74" w:rsidRDefault="00992C74" w:rsidP="00992C74">
      <w:pPr>
        <w:shd w:val="clear" w:color="auto" w:fill="FFFFFF"/>
        <w:spacing w:line="390" w:lineRule="atLeast"/>
        <w:rPr>
          <w:rFonts w:ascii="Open Sans" w:hAnsi="Open Sans"/>
          <w:color w:val="000000"/>
        </w:rPr>
      </w:pPr>
      <w:proofErr w:type="spellStart"/>
      <w:r w:rsidRPr="00992C74">
        <w:rPr>
          <w:rFonts w:ascii="inherit" w:hAnsi="inherit"/>
          <w:b/>
          <w:bCs/>
          <w:color w:val="000000"/>
          <w:sz w:val="20"/>
          <w:szCs w:val="20"/>
          <w:bdr w:val="none" w:sz="0" w:space="0" w:color="auto" w:frame="1"/>
          <w:shd w:val="clear" w:color="auto" w:fill="FFFFFF"/>
        </w:rPr>
        <w:t>Medicade</w:t>
      </w:r>
      <w:proofErr w:type="spellEnd"/>
      <w:r w:rsidRPr="00992C74">
        <w:rPr>
          <w:rFonts w:ascii="inherit" w:hAnsi="inherit"/>
          <w:b/>
          <w:bCs/>
          <w:color w:val="000000"/>
          <w:sz w:val="20"/>
          <w:szCs w:val="20"/>
          <w:bdr w:val="none" w:sz="0" w:space="0" w:color="auto" w:frame="1"/>
          <w:shd w:val="clear" w:color="auto" w:fill="FFFFFF"/>
        </w:rPr>
        <w:t xml:space="preserve"> is a state and federally funded program for low-income population, and certain qualifying disable conditions (Mason, Gardner, Outlaw &amp; O’Grady, 2015).</w:t>
      </w:r>
    </w:p>
    <w:p w14:paraId="364D9A01" w14:textId="77777777" w:rsidR="00992C74" w:rsidRPr="00992C74" w:rsidRDefault="00992C74" w:rsidP="00992C74">
      <w:pPr>
        <w:shd w:val="clear" w:color="auto" w:fill="FFFFFF"/>
        <w:spacing w:line="390" w:lineRule="atLeast"/>
        <w:rPr>
          <w:rFonts w:ascii="Open Sans" w:hAnsi="Open Sans"/>
          <w:color w:val="000000"/>
        </w:rPr>
      </w:pPr>
      <w:proofErr w:type="spellStart"/>
      <w:r w:rsidRPr="00992C74">
        <w:rPr>
          <w:rFonts w:ascii="inherit" w:hAnsi="inherit"/>
          <w:b/>
          <w:bCs/>
          <w:color w:val="000000"/>
          <w:sz w:val="20"/>
          <w:szCs w:val="20"/>
          <w:bdr w:val="none" w:sz="0" w:space="0" w:color="auto" w:frame="1"/>
        </w:rPr>
        <w:t>Medicade</w:t>
      </w:r>
      <w:proofErr w:type="spellEnd"/>
      <w:r w:rsidRPr="00992C74">
        <w:rPr>
          <w:rFonts w:ascii="inherit" w:hAnsi="inherit"/>
          <w:b/>
          <w:bCs/>
          <w:color w:val="000000"/>
          <w:sz w:val="20"/>
          <w:szCs w:val="20"/>
          <w:bdr w:val="none" w:sz="0" w:space="0" w:color="auto" w:frame="1"/>
        </w:rPr>
        <w:t xml:space="preserve"> components (Medicade.gov, n.d.):</w:t>
      </w:r>
    </w:p>
    <w:p w14:paraId="5A19EE88" w14:textId="77777777" w:rsidR="00992C74" w:rsidRPr="00992C74" w:rsidRDefault="00992C74" w:rsidP="00992C74">
      <w:pPr>
        <w:shd w:val="clear" w:color="auto" w:fill="FFFFFF"/>
        <w:spacing w:line="390" w:lineRule="atLeast"/>
        <w:rPr>
          <w:rFonts w:ascii="Open Sans" w:hAnsi="Open Sans"/>
          <w:color w:val="000000"/>
        </w:rPr>
      </w:pPr>
      <w:r w:rsidRPr="00992C74">
        <w:rPr>
          <w:color w:val="000000"/>
          <w:bdr w:val="none" w:sz="0" w:space="0" w:color="auto" w:frame="1"/>
        </w:rPr>
        <w:t>Covers chronic health care, including long term services and supports.</w:t>
      </w:r>
    </w:p>
    <w:p w14:paraId="2FE0ACE7" w14:textId="77777777" w:rsidR="00992C74" w:rsidRPr="00992C74" w:rsidRDefault="00992C74" w:rsidP="00992C74">
      <w:pPr>
        <w:shd w:val="clear" w:color="auto" w:fill="FFFFFF"/>
        <w:spacing w:line="390" w:lineRule="atLeast"/>
        <w:rPr>
          <w:rFonts w:ascii="Open Sans" w:hAnsi="Open Sans"/>
          <w:color w:val="000000"/>
        </w:rPr>
      </w:pPr>
      <w:r w:rsidRPr="00992C74">
        <w:rPr>
          <w:color w:val="000000"/>
          <w:bdr w:val="none" w:sz="0" w:space="0" w:color="auto" w:frame="1"/>
        </w:rPr>
        <w:t xml:space="preserve">Jointly funded and administered through federal and state government; Every State must have its own approved state plan including the following components: Populations covered, services provided, coverage for services, and administrative activities.  Each individual state can decide if they want to participate in the </w:t>
      </w:r>
      <w:proofErr w:type="spellStart"/>
      <w:r w:rsidRPr="00992C74">
        <w:rPr>
          <w:color w:val="000000"/>
          <w:bdr w:val="none" w:sz="0" w:space="0" w:color="auto" w:frame="1"/>
        </w:rPr>
        <w:t>Medicade</w:t>
      </w:r>
      <w:proofErr w:type="spellEnd"/>
      <w:r w:rsidRPr="00992C74">
        <w:rPr>
          <w:color w:val="000000"/>
          <w:bdr w:val="none" w:sz="0" w:space="0" w:color="auto" w:frame="1"/>
        </w:rPr>
        <w:t xml:space="preserve"> Expansion Act.</w:t>
      </w:r>
    </w:p>
    <w:p w14:paraId="5955D70F" w14:textId="77777777" w:rsidR="00992C74" w:rsidRPr="00992C74" w:rsidRDefault="00992C74" w:rsidP="00992C74">
      <w:pPr>
        <w:shd w:val="clear" w:color="auto" w:fill="FFFFFF"/>
        <w:spacing w:line="390" w:lineRule="atLeast"/>
        <w:rPr>
          <w:rFonts w:ascii="Open Sans" w:hAnsi="Open Sans"/>
          <w:color w:val="000000"/>
        </w:rPr>
      </w:pPr>
      <w:proofErr w:type="spellStart"/>
      <w:r w:rsidRPr="00992C74">
        <w:rPr>
          <w:rFonts w:ascii="inherit" w:hAnsi="inherit"/>
          <w:b/>
          <w:bCs/>
          <w:color w:val="000000"/>
          <w:sz w:val="20"/>
          <w:szCs w:val="20"/>
          <w:bdr w:val="none" w:sz="0" w:space="0" w:color="auto" w:frame="1"/>
        </w:rPr>
        <w:t>Medicade</w:t>
      </w:r>
      <w:proofErr w:type="spellEnd"/>
      <w:r w:rsidRPr="00992C74">
        <w:rPr>
          <w:rFonts w:ascii="inherit" w:hAnsi="inherit"/>
          <w:b/>
          <w:bCs/>
          <w:color w:val="000000"/>
          <w:sz w:val="20"/>
          <w:szCs w:val="20"/>
          <w:bdr w:val="none" w:sz="0" w:space="0" w:color="auto" w:frame="1"/>
        </w:rPr>
        <w:t xml:space="preserve"> service gaps:</w:t>
      </w:r>
    </w:p>
    <w:p w14:paraId="4D283CAE" w14:textId="77777777" w:rsidR="00992C74" w:rsidRPr="00992C74" w:rsidRDefault="00992C74" w:rsidP="00992C74">
      <w:pPr>
        <w:shd w:val="clear" w:color="auto" w:fill="FFFFFF"/>
        <w:spacing w:line="390" w:lineRule="atLeast"/>
        <w:rPr>
          <w:rFonts w:ascii="Open Sans" w:hAnsi="Open Sans"/>
          <w:color w:val="000000"/>
        </w:rPr>
      </w:pPr>
      <w:r w:rsidRPr="00992C74">
        <w:rPr>
          <w:rFonts w:ascii="inherit" w:hAnsi="inherit"/>
          <w:b/>
          <w:bCs/>
          <w:color w:val="000000"/>
          <w:sz w:val="20"/>
          <w:szCs w:val="20"/>
          <w:bdr w:val="none" w:sz="0" w:space="0" w:color="auto" w:frame="1"/>
        </w:rPr>
        <w:t xml:space="preserve">The </w:t>
      </w:r>
      <w:proofErr w:type="spellStart"/>
      <w:r w:rsidRPr="00992C74">
        <w:rPr>
          <w:rFonts w:ascii="inherit" w:hAnsi="inherit"/>
          <w:b/>
          <w:bCs/>
          <w:color w:val="000000"/>
          <w:sz w:val="20"/>
          <w:szCs w:val="20"/>
          <w:bdr w:val="none" w:sz="0" w:space="0" w:color="auto" w:frame="1"/>
        </w:rPr>
        <w:t>Medicade</w:t>
      </w:r>
      <w:proofErr w:type="spellEnd"/>
      <w:r w:rsidRPr="00992C74">
        <w:rPr>
          <w:rFonts w:ascii="inherit" w:hAnsi="inherit"/>
          <w:b/>
          <w:bCs/>
          <w:color w:val="000000"/>
          <w:sz w:val="20"/>
          <w:szCs w:val="20"/>
          <w:bdr w:val="none" w:sz="0" w:space="0" w:color="auto" w:frame="1"/>
        </w:rPr>
        <w:t xml:space="preserve"> coverage gap for childless adults</w:t>
      </w:r>
      <w:r w:rsidRPr="00992C74">
        <w:rPr>
          <w:rFonts w:ascii="inherit" w:hAnsi="inherit"/>
          <w:color w:val="000000"/>
          <w:sz w:val="20"/>
          <w:szCs w:val="20"/>
          <w:bdr w:val="none" w:sz="0" w:space="0" w:color="auto" w:frame="1"/>
        </w:rPr>
        <w:t xml:space="preserve"> –In states that chose not to participate in the </w:t>
      </w:r>
      <w:proofErr w:type="spellStart"/>
      <w:r w:rsidRPr="00992C74">
        <w:rPr>
          <w:rFonts w:ascii="inherit" w:hAnsi="inherit"/>
          <w:color w:val="000000"/>
          <w:sz w:val="20"/>
          <w:szCs w:val="20"/>
          <w:bdr w:val="none" w:sz="0" w:space="0" w:color="auto" w:frame="1"/>
        </w:rPr>
        <w:t>Medicade</w:t>
      </w:r>
      <w:proofErr w:type="spellEnd"/>
      <w:r w:rsidRPr="00992C74">
        <w:rPr>
          <w:rFonts w:ascii="inherit" w:hAnsi="inherit"/>
          <w:color w:val="000000"/>
          <w:sz w:val="20"/>
          <w:szCs w:val="20"/>
          <w:bdr w:val="none" w:sz="0" w:space="0" w:color="auto" w:frame="1"/>
        </w:rPr>
        <w:t xml:space="preserve"> Expansion Act, most childless adults with an income below 100% of the Federal Poverty Level (FPL) will not qualify for </w:t>
      </w:r>
      <w:proofErr w:type="spellStart"/>
      <w:r w:rsidRPr="00992C74">
        <w:rPr>
          <w:rFonts w:ascii="inherit" w:hAnsi="inherit"/>
          <w:color w:val="000000"/>
          <w:sz w:val="20"/>
          <w:szCs w:val="20"/>
          <w:bdr w:val="none" w:sz="0" w:space="0" w:color="auto" w:frame="1"/>
        </w:rPr>
        <w:t>Medicade</w:t>
      </w:r>
      <w:proofErr w:type="spellEnd"/>
      <w:r w:rsidRPr="00992C74">
        <w:rPr>
          <w:rFonts w:ascii="inherit" w:hAnsi="inherit"/>
          <w:color w:val="000000"/>
          <w:sz w:val="20"/>
          <w:szCs w:val="20"/>
          <w:bdr w:val="none" w:sz="0" w:space="0" w:color="auto" w:frame="1"/>
        </w:rPr>
        <w:t xml:space="preserve"> (Norris, 2018).  </w:t>
      </w:r>
    </w:p>
    <w:p w14:paraId="1BACBE13" w14:textId="77777777" w:rsidR="00992C74" w:rsidRPr="00992C74" w:rsidRDefault="00992C74" w:rsidP="00992C74">
      <w:pPr>
        <w:shd w:val="clear" w:color="auto" w:fill="FFFFFF"/>
        <w:spacing w:line="390" w:lineRule="atLeast"/>
        <w:rPr>
          <w:rFonts w:ascii="Open Sans" w:hAnsi="Open Sans"/>
          <w:color w:val="000000"/>
        </w:rPr>
      </w:pPr>
      <w:proofErr w:type="spellStart"/>
      <w:r w:rsidRPr="00992C74">
        <w:rPr>
          <w:rFonts w:ascii="inherit" w:hAnsi="inherit"/>
          <w:b/>
          <w:bCs/>
          <w:color w:val="000000"/>
          <w:sz w:val="20"/>
          <w:szCs w:val="20"/>
          <w:bdr w:val="none" w:sz="0" w:space="0" w:color="auto" w:frame="1"/>
        </w:rPr>
        <w:lastRenderedPageBreak/>
        <w:t>Medicade</w:t>
      </w:r>
      <w:proofErr w:type="spellEnd"/>
      <w:r w:rsidRPr="00992C74">
        <w:rPr>
          <w:rFonts w:ascii="inherit" w:hAnsi="inherit"/>
          <w:b/>
          <w:bCs/>
          <w:color w:val="000000"/>
          <w:sz w:val="20"/>
          <w:szCs w:val="20"/>
          <w:bdr w:val="none" w:sz="0" w:space="0" w:color="auto" w:frame="1"/>
        </w:rPr>
        <w:t xml:space="preserve"> work requirement gap</w:t>
      </w:r>
      <w:r w:rsidRPr="00992C74">
        <w:rPr>
          <w:rFonts w:ascii="inherit" w:hAnsi="inherit"/>
          <w:color w:val="000000"/>
          <w:sz w:val="20"/>
          <w:szCs w:val="20"/>
          <w:bdr w:val="none" w:sz="0" w:space="0" w:color="auto" w:frame="1"/>
        </w:rPr>
        <w:t> – A gap in coverage has also resulted for enrollees who have failed to meet the new requirements to prove they are working or looking for work 80 hours per week (Collins, 2019).</w:t>
      </w:r>
    </w:p>
    <w:p w14:paraId="4D0490BB" w14:textId="77777777" w:rsidR="00992C74" w:rsidRPr="00992C74" w:rsidRDefault="00992C74" w:rsidP="00992C74">
      <w:pPr>
        <w:shd w:val="clear" w:color="auto" w:fill="FFFFFF"/>
        <w:spacing w:line="390" w:lineRule="atLeast"/>
        <w:rPr>
          <w:rFonts w:ascii="Open Sans" w:hAnsi="Open Sans"/>
          <w:color w:val="000000"/>
        </w:rPr>
      </w:pPr>
      <w:r w:rsidRPr="00992C74">
        <w:rPr>
          <w:rFonts w:ascii="inherit" w:hAnsi="inherit"/>
          <w:b/>
          <w:bCs/>
          <w:color w:val="000000"/>
          <w:sz w:val="20"/>
          <w:szCs w:val="20"/>
          <w:bdr w:val="none" w:sz="0" w:space="0" w:color="auto" w:frame="1"/>
        </w:rPr>
        <w:t>Social Security in America</w:t>
      </w:r>
    </w:p>
    <w:p w14:paraId="433127C1" w14:textId="77777777" w:rsidR="00992C74" w:rsidRPr="00992C74" w:rsidRDefault="00992C74" w:rsidP="00992C74">
      <w:pPr>
        <w:shd w:val="clear" w:color="auto" w:fill="FFFFFF"/>
        <w:spacing w:line="390" w:lineRule="atLeast"/>
        <w:rPr>
          <w:rFonts w:ascii="Open Sans" w:hAnsi="Open Sans"/>
          <w:color w:val="000000"/>
        </w:rPr>
      </w:pPr>
      <w:r w:rsidRPr="00992C74">
        <w:rPr>
          <w:color w:val="000000"/>
          <w:bdr w:val="none" w:sz="0" w:space="0" w:color="auto" w:frame="1"/>
        </w:rPr>
        <w:t>I believe Social Security is a good thing, especially if someone started working young, and has contributed all their working lives to it.  Many times, young workers are not thinking of putting into their retirement, so over the years it ends up being a little nest egg without much thought.  But I do think Social Security needs to be reformed.  As our book states, the Social Security system is in good shape, and can pay out 100% of the benefits owned to beneficiaries through 2033, then only 75% will be available to all beneficiaries (</w:t>
      </w:r>
      <w:r w:rsidRPr="00992C74">
        <w:rPr>
          <w:rFonts w:ascii="inherit" w:hAnsi="inherit"/>
          <w:color w:val="000000"/>
          <w:sz w:val="20"/>
          <w:szCs w:val="20"/>
          <w:bdr w:val="none" w:sz="0" w:space="0" w:color="auto" w:frame="1"/>
          <w:shd w:val="clear" w:color="auto" w:fill="FFFFFF"/>
        </w:rPr>
        <w:t>Mason, Gardner, Outlaw &amp; O’Grady, 2015</w:t>
      </w:r>
      <w:r w:rsidRPr="00992C74">
        <w:rPr>
          <w:color w:val="000000"/>
          <w:bdr w:val="none" w:sz="0" w:space="0" w:color="auto" w:frame="1"/>
        </w:rPr>
        <w:t xml:space="preserve">).  I don’t think this is fair, especially to generation </w:t>
      </w:r>
      <w:proofErr w:type="spellStart"/>
      <w:r w:rsidRPr="00992C74">
        <w:rPr>
          <w:color w:val="000000"/>
          <w:bdr w:val="none" w:sz="0" w:space="0" w:color="auto" w:frame="1"/>
        </w:rPr>
        <w:t>X’ers</w:t>
      </w:r>
      <w:proofErr w:type="spellEnd"/>
      <w:r w:rsidRPr="00992C74">
        <w:rPr>
          <w:color w:val="000000"/>
          <w:bdr w:val="none" w:sz="0" w:space="0" w:color="auto" w:frame="1"/>
        </w:rPr>
        <w:t xml:space="preserve"> and millennials who contribute to Social Security throughout their lives but won’t start collecting until past 2033.  Although I’ve never been keen on increasing taxes, I think our book has a good proposal of increasing the contribution rate by 0.05% over the next 20 years, which would ensure Social Security benefit payouts of 100% for eligible beneficiaries (</w:t>
      </w:r>
      <w:r w:rsidRPr="00992C74">
        <w:rPr>
          <w:rFonts w:ascii="inherit" w:hAnsi="inherit"/>
          <w:color w:val="000000"/>
          <w:sz w:val="20"/>
          <w:szCs w:val="20"/>
          <w:bdr w:val="none" w:sz="0" w:space="0" w:color="auto" w:frame="1"/>
          <w:shd w:val="clear" w:color="auto" w:fill="FFFFFF"/>
        </w:rPr>
        <w:t>Mason, Gardner, Outlaw &amp; O’Grady, 2015</w:t>
      </w:r>
      <w:r w:rsidRPr="00992C74">
        <w:rPr>
          <w:color w:val="000000"/>
          <w:bdr w:val="none" w:sz="0" w:space="0" w:color="auto" w:frame="1"/>
        </w:rPr>
        <w:t>).</w:t>
      </w:r>
    </w:p>
    <w:p w14:paraId="4FCEFE70" w14:textId="77777777" w:rsidR="00992C74" w:rsidRPr="00992C74" w:rsidRDefault="00992C74" w:rsidP="00992C74">
      <w:pPr>
        <w:shd w:val="clear" w:color="auto" w:fill="FFFFFF"/>
        <w:spacing w:line="390" w:lineRule="atLeast"/>
        <w:ind w:left="720"/>
        <w:jc w:val="center"/>
        <w:rPr>
          <w:rFonts w:ascii="Open Sans" w:hAnsi="Open Sans"/>
          <w:color w:val="000000"/>
        </w:rPr>
      </w:pPr>
      <w:r w:rsidRPr="00992C74">
        <w:rPr>
          <w:color w:val="000000"/>
          <w:bdr w:val="none" w:sz="0" w:space="0" w:color="auto" w:frame="1"/>
        </w:rPr>
        <w:t>References</w:t>
      </w:r>
    </w:p>
    <w:p w14:paraId="5303FB08" w14:textId="77777777" w:rsidR="00992C74" w:rsidRPr="00992C74" w:rsidRDefault="00992C74" w:rsidP="00992C74">
      <w:pPr>
        <w:shd w:val="clear" w:color="auto" w:fill="FFFFFF"/>
        <w:spacing w:line="390" w:lineRule="atLeast"/>
        <w:ind w:left="720" w:hanging="720"/>
        <w:rPr>
          <w:rFonts w:ascii="Open Sans" w:hAnsi="Open Sans"/>
          <w:color w:val="000000"/>
        </w:rPr>
      </w:pPr>
      <w:r w:rsidRPr="00992C74">
        <w:rPr>
          <w:color w:val="000000"/>
          <w:bdr w:val="none" w:sz="0" w:space="0" w:color="auto" w:frame="1"/>
        </w:rPr>
        <w:t>Collins, S. (2019, February 28). Medicaid work requirements increase coverage gaps. Retrieved from https://www.commonwealthfund.org/blog/2019/medicaid-work-requirements-increase-coverage-gaps</w:t>
      </w:r>
    </w:p>
    <w:p w14:paraId="5AC254C5" w14:textId="77777777" w:rsidR="00992C74" w:rsidRPr="00992C74" w:rsidRDefault="00992C74" w:rsidP="00992C74">
      <w:pPr>
        <w:shd w:val="clear" w:color="auto" w:fill="FFFFFF"/>
        <w:spacing w:line="390" w:lineRule="atLeast"/>
        <w:ind w:left="720" w:hanging="720"/>
        <w:rPr>
          <w:rFonts w:ascii="Open Sans" w:hAnsi="Open Sans"/>
          <w:color w:val="000000"/>
        </w:rPr>
      </w:pPr>
      <w:r w:rsidRPr="00992C74">
        <w:rPr>
          <w:color w:val="000000"/>
          <w:bdr w:val="none" w:sz="0" w:space="0" w:color="auto" w:frame="1"/>
        </w:rPr>
        <w:t>Mason, D. J., Gardner, D. B., Outlaw, F. H., &amp; O'Grady, E. T. (2015). </w:t>
      </w:r>
      <w:r w:rsidRPr="00992C74">
        <w:rPr>
          <w:rFonts w:ascii="Open Sans" w:hAnsi="Open Sans"/>
          <w:i/>
          <w:iCs/>
          <w:color w:val="000000"/>
          <w:bdr w:val="none" w:sz="0" w:space="0" w:color="auto" w:frame="1"/>
        </w:rPr>
        <w:t>Policy &amp; politics in nursing and health care</w:t>
      </w:r>
      <w:r w:rsidRPr="00992C74">
        <w:rPr>
          <w:color w:val="000000"/>
          <w:bdr w:val="none" w:sz="0" w:space="0" w:color="auto" w:frame="1"/>
        </w:rPr>
        <w:t> (7th ed.). St. Louis, MO: Elsevier Health Sciences.</w:t>
      </w:r>
    </w:p>
    <w:p w14:paraId="6C3AF4DD" w14:textId="77777777" w:rsidR="00992C74" w:rsidRPr="00992C74" w:rsidRDefault="00992C74" w:rsidP="00992C74">
      <w:pPr>
        <w:shd w:val="clear" w:color="auto" w:fill="FFFFFF"/>
        <w:spacing w:line="390" w:lineRule="atLeast"/>
        <w:ind w:left="720" w:hanging="720"/>
        <w:rPr>
          <w:rFonts w:ascii="Open Sans" w:hAnsi="Open Sans"/>
          <w:color w:val="000000"/>
        </w:rPr>
      </w:pPr>
      <w:r w:rsidRPr="00992C74">
        <w:rPr>
          <w:color w:val="000000"/>
          <w:bdr w:val="none" w:sz="0" w:space="0" w:color="auto" w:frame="1"/>
        </w:rPr>
        <w:t xml:space="preserve">Medicade.gov. (n.d.). </w:t>
      </w:r>
      <w:proofErr w:type="spellStart"/>
      <w:r w:rsidRPr="00992C74">
        <w:rPr>
          <w:color w:val="000000"/>
          <w:bdr w:val="none" w:sz="0" w:space="0" w:color="auto" w:frame="1"/>
        </w:rPr>
        <w:t>Medicade</w:t>
      </w:r>
      <w:proofErr w:type="spellEnd"/>
      <w:r w:rsidRPr="00992C74">
        <w:rPr>
          <w:color w:val="000000"/>
          <w:bdr w:val="none" w:sz="0" w:space="0" w:color="auto" w:frame="1"/>
        </w:rPr>
        <w:t xml:space="preserve"> 101. Retrieved from https://www.ncoa.org/wp-content/uploads/Medicaid-101-Breakout.pdf</w:t>
      </w:r>
    </w:p>
    <w:p w14:paraId="2CD0A052" w14:textId="77777777" w:rsidR="00992C74" w:rsidRPr="00992C74" w:rsidRDefault="00992C74" w:rsidP="00992C74">
      <w:pPr>
        <w:shd w:val="clear" w:color="auto" w:fill="FFFFFF"/>
        <w:spacing w:line="390" w:lineRule="atLeast"/>
        <w:ind w:left="720" w:hanging="720"/>
        <w:rPr>
          <w:rFonts w:ascii="Open Sans" w:hAnsi="Open Sans"/>
          <w:color w:val="000000"/>
        </w:rPr>
      </w:pPr>
      <w:r w:rsidRPr="00992C74">
        <w:rPr>
          <w:color w:val="000000"/>
          <w:bdr w:val="none" w:sz="0" w:space="0" w:color="auto" w:frame="1"/>
        </w:rPr>
        <w:t>Medicare.gov. (n.d.). Costs in the coverage gap. Retrieved from https://www.medicare.gov/drug-coverage-part-d/costs-for-medicare-drug-coverage/costs-in-the-coverage-gap</w:t>
      </w:r>
    </w:p>
    <w:p w14:paraId="5AA34221" w14:textId="77777777" w:rsidR="00992C74" w:rsidRPr="00992C74" w:rsidRDefault="00992C74" w:rsidP="00992C74">
      <w:pPr>
        <w:shd w:val="clear" w:color="auto" w:fill="FFFFFF"/>
        <w:spacing w:line="390" w:lineRule="atLeast"/>
        <w:ind w:left="720" w:hanging="720"/>
        <w:rPr>
          <w:rFonts w:ascii="Open Sans" w:hAnsi="Open Sans"/>
          <w:color w:val="000000"/>
        </w:rPr>
      </w:pPr>
      <w:r w:rsidRPr="00992C74">
        <w:rPr>
          <w:color w:val="000000"/>
          <w:bdr w:val="none" w:sz="0" w:space="0" w:color="auto" w:frame="1"/>
        </w:rPr>
        <w:t>Norris, L. (2018, November 13). What is the Medicaid ‘coverage gap’ and who does it affect? Retrieved from https://www.healthinsurance.org/faqs/what-is-the-medicaid-coverage-gap-and-who-does-it-affect/</w:t>
      </w:r>
    </w:p>
    <w:p w14:paraId="6D491E52" w14:textId="03B41E1E" w:rsidR="007A2E08" w:rsidRPr="00460247" w:rsidRDefault="007A2E08" w:rsidP="00460247"/>
    <w:sectPr w:rsidR="007A2E08" w:rsidRPr="00460247" w:rsidSect="00E15B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Open Sans">
    <w:altName w:val="Cambria"/>
    <w:panose1 w:val="020B0604020202020204"/>
    <w:charset w:val="00"/>
    <w:family w:val="roman"/>
    <w:notTrueType/>
    <w:pitch w:val="default"/>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BEF"/>
    <w:rsid w:val="00190D5C"/>
    <w:rsid w:val="001E6072"/>
    <w:rsid w:val="00222F8C"/>
    <w:rsid w:val="00460247"/>
    <w:rsid w:val="005C76A8"/>
    <w:rsid w:val="00647099"/>
    <w:rsid w:val="00794A7E"/>
    <w:rsid w:val="007A2E08"/>
    <w:rsid w:val="00992C74"/>
    <w:rsid w:val="009F6481"/>
    <w:rsid w:val="00A25AB9"/>
    <w:rsid w:val="00A61A44"/>
    <w:rsid w:val="00AC6F4C"/>
    <w:rsid w:val="00B0371E"/>
    <w:rsid w:val="00C86D3A"/>
    <w:rsid w:val="00CA7DAF"/>
    <w:rsid w:val="00E15BEF"/>
    <w:rsid w:val="00EF2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5255B"/>
  <w15:chartTrackingRefBased/>
  <w15:docId w15:val="{5FD5E1A5-5254-424D-BBE3-8BB5C9D5C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7DAF"/>
    <w:rPr>
      <w:rFonts w:ascii="Times New Roman" w:eastAsia="Times New Roman" w:hAnsi="Times New Roman" w:cs="Times New Roman"/>
    </w:rPr>
  </w:style>
  <w:style w:type="paragraph" w:styleId="Heading1">
    <w:name w:val="heading 1"/>
    <w:basedOn w:val="Normal"/>
    <w:next w:val="Normal"/>
    <w:link w:val="Heading1Char"/>
    <w:uiPriority w:val="9"/>
    <w:qFormat/>
    <w:rsid w:val="00E15BEF"/>
    <w:pPr>
      <w:keepNext/>
      <w:keepLines/>
      <w:spacing w:before="240" w:line="480" w:lineRule="auto"/>
      <w:jc w:val="center"/>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E15BEF"/>
    <w:pPr>
      <w:keepNext/>
      <w:keepLines/>
      <w:spacing w:before="40" w:line="480" w:lineRule="auto"/>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5BEF"/>
    <w:rPr>
      <w:rFonts w:ascii="Times New Roman" w:hAnsi="Times New Roman"/>
      <w:color w:val="000000" w:themeColor="text1"/>
    </w:rPr>
  </w:style>
  <w:style w:type="character" w:customStyle="1" w:styleId="Heading1Char">
    <w:name w:val="Heading 1 Char"/>
    <w:basedOn w:val="DefaultParagraphFont"/>
    <w:link w:val="Heading1"/>
    <w:uiPriority w:val="9"/>
    <w:rsid w:val="00E15BEF"/>
    <w:rPr>
      <w:rFonts w:ascii="Times New Roman" w:eastAsiaTheme="majorEastAsia" w:hAnsi="Times New Roman" w:cstheme="majorBidi"/>
      <w:szCs w:val="32"/>
    </w:rPr>
  </w:style>
  <w:style w:type="character" w:customStyle="1" w:styleId="Heading2Char">
    <w:name w:val="Heading 2 Char"/>
    <w:basedOn w:val="DefaultParagraphFont"/>
    <w:link w:val="Heading2"/>
    <w:uiPriority w:val="9"/>
    <w:rsid w:val="00E15BEF"/>
    <w:rPr>
      <w:rFonts w:ascii="Times New Roman" w:eastAsiaTheme="majorEastAsia" w:hAnsi="Times New Roman" w:cstheme="majorBidi"/>
      <w:b/>
      <w:szCs w:val="26"/>
    </w:rPr>
  </w:style>
  <w:style w:type="paragraph" w:styleId="Header">
    <w:name w:val="header"/>
    <w:basedOn w:val="Normal"/>
    <w:link w:val="HeaderChar"/>
    <w:uiPriority w:val="99"/>
    <w:unhideWhenUsed/>
    <w:rsid w:val="00CA7DAF"/>
    <w:pPr>
      <w:tabs>
        <w:tab w:val="center" w:pos="4680"/>
        <w:tab w:val="right" w:pos="9360"/>
      </w:tabs>
    </w:pPr>
    <w:rPr>
      <w:rFonts w:eastAsiaTheme="minorHAnsi" w:cstheme="minorBidi"/>
      <w:color w:val="000000" w:themeColor="text1"/>
    </w:rPr>
  </w:style>
  <w:style w:type="character" w:customStyle="1" w:styleId="HeaderChar">
    <w:name w:val="Header Char"/>
    <w:basedOn w:val="DefaultParagraphFont"/>
    <w:link w:val="Header"/>
    <w:uiPriority w:val="99"/>
    <w:rsid w:val="00CA7DAF"/>
    <w:rPr>
      <w:rFonts w:ascii="Times New Roman" w:hAnsi="Times New Roman"/>
      <w:color w:val="000000" w:themeColor="text1"/>
    </w:rPr>
  </w:style>
  <w:style w:type="paragraph" w:styleId="NormalWeb">
    <w:name w:val="Normal (Web)"/>
    <w:basedOn w:val="Normal"/>
    <w:uiPriority w:val="99"/>
    <w:semiHidden/>
    <w:unhideWhenUsed/>
    <w:rsid w:val="00A25AB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638598">
      <w:bodyDiv w:val="1"/>
      <w:marLeft w:val="0"/>
      <w:marRight w:val="0"/>
      <w:marTop w:val="0"/>
      <w:marBottom w:val="0"/>
      <w:divBdr>
        <w:top w:val="none" w:sz="0" w:space="0" w:color="auto"/>
        <w:left w:val="none" w:sz="0" w:space="0" w:color="auto"/>
        <w:bottom w:val="none" w:sz="0" w:space="0" w:color="auto"/>
        <w:right w:val="none" w:sz="0" w:space="0" w:color="auto"/>
      </w:divBdr>
    </w:div>
    <w:div w:id="844394693">
      <w:bodyDiv w:val="1"/>
      <w:marLeft w:val="0"/>
      <w:marRight w:val="0"/>
      <w:marTop w:val="0"/>
      <w:marBottom w:val="0"/>
      <w:divBdr>
        <w:top w:val="none" w:sz="0" w:space="0" w:color="auto"/>
        <w:left w:val="none" w:sz="0" w:space="0" w:color="auto"/>
        <w:bottom w:val="none" w:sz="0" w:space="0" w:color="auto"/>
        <w:right w:val="none" w:sz="0" w:space="0" w:color="auto"/>
      </w:divBdr>
      <w:divsChild>
        <w:div w:id="488375357">
          <w:marLeft w:val="0"/>
          <w:marRight w:val="0"/>
          <w:marTop w:val="0"/>
          <w:marBottom w:val="0"/>
          <w:divBdr>
            <w:top w:val="none" w:sz="0" w:space="0" w:color="auto"/>
            <w:left w:val="none" w:sz="0" w:space="0" w:color="auto"/>
            <w:bottom w:val="none" w:sz="0" w:space="0" w:color="auto"/>
            <w:right w:val="none" w:sz="0" w:space="0" w:color="auto"/>
          </w:divBdr>
          <w:divsChild>
            <w:div w:id="316232494">
              <w:marLeft w:val="0"/>
              <w:marRight w:val="0"/>
              <w:marTop w:val="0"/>
              <w:marBottom w:val="0"/>
              <w:divBdr>
                <w:top w:val="none" w:sz="0" w:space="0" w:color="auto"/>
                <w:left w:val="none" w:sz="0" w:space="0" w:color="auto"/>
                <w:bottom w:val="none" w:sz="0" w:space="0" w:color="auto"/>
                <w:right w:val="none" w:sz="0" w:space="0" w:color="auto"/>
              </w:divBdr>
              <w:divsChild>
                <w:div w:id="1868181888">
                  <w:marLeft w:val="0"/>
                  <w:marRight w:val="0"/>
                  <w:marTop w:val="0"/>
                  <w:marBottom w:val="0"/>
                  <w:divBdr>
                    <w:top w:val="none" w:sz="0" w:space="0" w:color="auto"/>
                    <w:left w:val="none" w:sz="0" w:space="0" w:color="auto"/>
                    <w:bottom w:val="none" w:sz="0" w:space="0" w:color="auto"/>
                    <w:right w:val="none" w:sz="0" w:space="0" w:color="auto"/>
                  </w:divBdr>
                  <w:divsChild>
                    <w:div w:id="44840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988807">
      <w:bodyDiv w:val="1"/>
      <w:marLeft w:val="0"/>
      <w:marRight w:val="0"/>
      <w:marTop w:val="0"/>
      <w:marBottom w:val="0"/>
      <w:divBdr>
        <w:top w:val="none" w:sz="0" w:space="0" w:color="auto"/>
        <w:left w:val="none" w:sz="0" w:space="0" w:color="auto"/>
        <w:bottom w:val="none" w:sz="0" w:space="0" w:color="auto"/>
        <w:right w:val="none" w:sz="0" w:space="0" w:color="auto"/>
      </w:divBdr>
      <w:divsChild>
        <w:div w:id="1362780746">
          <w:marLeft w:val="0"/>
          <w:marRight w:val="0"/>
          <w:marTop w:val="0"/>
          <w:marBottom w:val="0"/>
          <w:divBdr>
            <w:top w:val="none" w:sz="0" w:space="0" w:color="auto"/>
            <w:left w:val="none" w:sz="0" w:space="0" w:color="auto"/>
            <w:bottom w:val="none" w:sz="0" w:space="0" w:color="auto"/>
            <w:right w:val="none" w:sz="0" w:space="0" w:color="auto"/>
          </w:divBdr>
          <w:divsChild>
            <w:div w:id="2146506859">
              <w:marLeft w:val="0"/>
              <w:marRight w:val="0"/>
              <w:marTop w:val="0"/>
              <w:marBottom w:val="0"/>
              <w:divBdr>
                <w:top w:val="none" w:sz="0" w:space="0" w:color="auto"/>
                <w:left w:val="none" w:sz="0" w:space="0" w:color="auto"/>
                <w:bottom w:val="none" w:sz="0" w:space="0" w:color="auto"/>
                <w:right w:val="none" w:sz="0" w:space="0" w:color="auto"/>
              </w:divBdr>
              <w:divsChild>
                <w:div w:id="1277979812">
                  <w:marLeft w:val="0"/>
                  <w:marRight w:val="0"/>
                  <w:marTop w:val="0"/>
                  <w:marBottom w:val="0"/>
                  <w:divBdr>
                    <w:top w:val="none" w:sz="0" w:space="0" w:color="auto"/>
                    <w:left w:val="none" w:sz="0" w:space="0" w:color="auto"/>
                    <w:bottom w:val="none" w:sz="0" w:space="0" w:color="auto"/>
                    <w:right w:val="none" w:sz="0" w:space="0" w:color="auto"/>
                  </w:divBdr>
                  <w:divsChild>
                    <w:div w:id="28292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062888">
      <w:bodyDiv w:val="1"/>
      <w:marLeft w:val="0"/>
      <w:marRight w:val="0"/>
      <w:marTop w:val="0"/>
      <w:marBottom w:val="0"/>
      <w:divBdr>
        <w:top w:val="none" w:sz="0" w:space="0" w:color="auto"/>
        <w:left w:val="none" w:sz="0" w:space="0" w:color="auto"/>
        <w:bottom w:val="none" w:sz="0" w:space="0" w:color="auto"/>
        <w:right w:val="none" w:sz="0" w:space="0" w:color="auto"/>
      </w:divBdr>
      <w:divsChild>
        <w:div w:id="270477267">
          <w:marLeft w:val="0"/>
          <w:marRight w:val="0"/>
          <w:marTop w:val="0"/>
          <w:marBottom w:val="0"/>
          <w:divBdr>
            <w:top w:val="none" w:sz="0" w:space="0" w:color="auto"/>
            <w:left w:val="none" w:sz="0" w:space="0" w:color="auto"/>
            <w:bottom w:val="none" w:sz="0" w:space="0" w:color="auto"/>
            <w:right w:val="none" w:sz="0" w:space="0" w:color="auto"/>
          </w:divBdr>
          <w:divsChild>
            <w:div w:id="387533312">
              <w:marLeft w:val="0"/>
              <w:marRight w:val="0"/>
              <w:marTop w:val="0"/>
              <w:marBottom w:val="0"/>
              <w:divBdr>
                <w:top w:val="none" w:sz="0" w:space="0" w:color="auto"/>
                <w:left w:val="none" w:sz="0" w:space="0" w:color="auto"/>
                <w:bottom w:val="none" w:sz="0" w:space="0" w:color="auto"/>
                <w:right w:val="none" w:sz="0" w:space="0" w:color="auto"/>
              </w:divBdr>
              <w:divsChild>
                <w:div w:id="1028070536">
                  <w:marLeft w:val="0"/>
                  <w:marRight w:val="0"/>
                  <w:marTop w:val="0"/>
                  <w:marBottom w:val="0"/>
                  <w:divBdr>
                    <w:top w:val="none" w:sz="0" w:space="0" w:color="auto"/>
                    <w:left w:val="none" w:sz="0" w:space="0" w:color="auto"/>
                    <w:bottom w:val="none" w:sz="0" w:space="0" w:color="auto"/>
                    <w:right w:val="none" w:sz="0" w:space="0" w:color="auto"/>
                  </w:divBdr>
                  <w:divsChild>
                    <w:div w:id="5578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670734">
      <w:bodyDiv w:val="1"/>
      <w:marLeft w:val="0"/>
      <w:marRight w:val="0"/>
      <w:marTop w:val="0"/>
      <w:marBottom w:val="0"/>
      <w:divBdr>
        <w:top w:val="none" w:sz="0" w:space="0" w:color="auto"/>
        <w:left w:val="none" w:sz="0" w:space="0" w:color="auto"/>
        <w:bottom w:val="none" w:sz="0" w:space="0" w:color="auto"/>
        <w:right w:val="none" w:sz="0" w:space="0" w:color="auto"/>
      </w:divBdr>
    </w:div>
    <w:div w:id="1828740433">
      <w:bodyDiv w:val="1"/>
      <w:marLeft w:val="0"/>
      <w:marRight w:val="0"/>
      <w:marTop w:val="0"/>
      <w:marBottom w:val="0"/>
      <w:divBdr>
        <w:top w:val="none" w:sz="0" w:space="0" w:color="auto"/>
        <w:left w:val="none" w:sz="0" w:space="0" w:color="auto"/>
        <w:bottom w:val="none" w:sz="0" w:space="0" w:color="auto"/>
        <w:right w:val="none" w:sz="0" w:space="0" w:color="auto"/>
      </w:divBdr>
      <w:divsChild>
        <w:div w:id="1712732263">
          <w:marLeft w:val="0"/>
          <w:marRight w:val="0"/>
          <w:marTop w:val="0"/>
          <w:marBottom w:val="0"/>
          <w:divBdr>
            <w:top w:val="none" w:sz="0" w:space="0" w:color="auto"/>
            <w:left w:val="none" w:sz="0" w:space="0" w:color="auto"/>
            <w:bottom w:val="none" w:sz="0" w:space="0" w:color="auto"/>
            <w:right w:val="none" w:sz="0" w:space="0" w:color="auto"/>
          </w:divBdr>
          <w:divsChild>
            <w:div w:id="199822056">
              <w:marLeft w:val="0"/>
              <w:marRight w:val="0"/>
              <w:marTop w:val="0"/>
              <w:marBottom w:val="0"/>
              <w:divBdr>
                <w:top w:val="none" w:sz="0" w:space="0" w:color="auto"/>
                <w:left w:val="none" w:sz="0" w:space="0" w:color="auto"/>
                <w:bottom w:val="none" w:sz="0" w:space="0" w:color="auto"/>
                <w:right w:val="none" w:sz="0" w:space="0" w:color="auto"/>
              </w:divBdr>
              <w:divsChild>
                <w:div w:id="1021206752">
                  <w:marLeft w:val="0"/>
                  <w:marRight w:val="0"/>
                  <w:marTop w:val="0"/>
                  <w:marBottom w:val="0"/>
                  <w:divBdr>
                    <w:top w:val="none" w:sz="0" w:space="0" w:color="auto"/>
                    <w:left w:val="none" w:sz="0" w:space="0" w:color="auto"/>
                    <w:bottom w:val="none" w:sz="0" w:space="0" w:color="auto"/>
                    <w:right w:val="none" w:sz="0" w:space="0" w:color="auto"/>
                  </w:divBdr>
                  <w:divsChild>
                    <w:div w:id="87512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825790">
      <w:bodyDiv w:val="1"/>
      <w:marLeft w:val="0"/>
      <w:marRight w:val="0"/>
      <w:marTop w:val="0"/>
      <w:marBottom w:val="0"/>
      <w:divBdr>
        <w:top w:val="none" w:sz="0" w:space="0" w:color="auto"/>
        <w:left w:val="none" w:sz="0" w:space="0" w:color="auto"/>
        <w:bottom w:val="none" w:sz="0" w:space="0" w:color="auto"/>
        <w:right w:val="none" w:sz="0" w:space="0" w:color="auto"/>
      </w:divBdr>
      <w:divsChild>
        <w:div w:id="1907378738">
          <w:marLeft w:val="0"/>
          <w:marRight w:val="0"/>
          <w:marTop w:val="0"/>
          <w:marBottom w:val="0"/>
          <w:divBdr>
            <w:top w:val="none" w:sz="0" w:space="0" w:color="auto"/>
            <w:left w:val="none" w:sz="0" w:space="0" w:color="auto"/>
            <w:bottom w:val="none" w:sz="0" w:space="0" w:color="auto"/>
            <w:right w:val="none" w:sz="0" w:space="0" w:color="auto"/>
          </w:divBdr>
          <w:divsChild>
            <w:div w:id="1991210449">
              <w:marLeft w:val="0"/>
              <w:marRight w:val="0"/>
              <w:marTop w:val="0"/>
              <w:marBottom w:val="0"/>
              <w:divBdr>
                <w:top w:val="none" w:sz="0" w:space="0" w:color="auto"/>
                <w:left w:val="none" w:sz="0" w:space="0" w:color="auto"/>
                <w:bottom w:val="none" w:sz="0" w:space="0" w:color="auto"/>
                <w:right w:val="none" w:sz="0" w:space="0" w:color="auto"/>
              </w:divBdr>
              <w:divsChild>
                <w:div w:id="1084765844">
                  <w:marLeft w:val="0"/>
                  <w:marRight w:val="0"/>
                  <w:marTop w:val="0"/>
                  <w:marBottom w:val="0"/>
                  <w:divBdr>
                    <w:top w:val="none" w:sz="0" w:space="0" w:color="auto"/>
                    <w:left w:val="none" w:sz="0" w:space="0" w:color="auto"/>
                    <w:bottom w:val="none" w:sz="0" w:space="0" w:color="auto"/>
                    <w:right w:val="none" w:sz="0" w:space="0" w:color="auto"/>
                  </w:divBdr>
                  <w:divsChild>
                    <w:div w:id="58373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715</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2019-07-24T17:44:00Z</dcterms:created>
  <dcterms:modified xsi:type="dcterms:W3CDTF">2019-07-24T17:47:00Z</dcterms:modified>
</cp:coreProperties>
</file>